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B82" w14:textId="77777777" w:rsid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Zavedení principů společenské odpovědnosti (CSR) představuje pro moderní město koncepční manažerské rozhodnutí, které </w:t>
      </w:r>
      <w:r w:rsidRPr="00C32100">
        <w:rPr>
          <w:rFonts w:ascii="Calibri" w:hAnsi="Calibri" w:cs="Calibri"/>
          <w:b/>
          <w:bCs/>
        </w:rPr>
        <w:t>systematicky podporuje jeho dlouhodobou udržitelnost</w:t>
      </w:r>
      <w:r w:rsidRPr="00C32100">
        <w:rPr>
          <w:rFonts w:ascii="Calibri" w:hAnsi="Calibri" w:cs="Calibri"/>
        </w:rPr>
        <w:t xml:space="preserve"> a zvyšuje kvalitu i efektivitu výkonu veřejné správy. </w:t>
      </w:r>
    </w:p>
    <w:p w14:paraId="6EBD44C5" w14:textId="4E8802CA" w:rsidR="00C32100" w:rsidRPr="00C32100" w:rsidRDefault="00C32100" w:rsidP="00C32100">
      <w:pPr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32100">
        <w:rPr>
          <w:rFonts w:ascii="Calibri" w:hAnsi="Calibri" w:cs="Calibri"/>
          <w:b/>
          <w:bCs/>
          <w:color w:val="C00000"/>
          <w:sz w:val="28"/>
          <w:szCs w:val="28"/>
        </w:rPr>
        <w:t>Hlavní přínosy pro rozvoj města lze rozdělit do několika klíčových oblastí:</w:t>
      </w:r>
    </w:p>
    <w:p w14:paraId="6E042A7B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1. Transparentnost a důvěra veřejnosti</w:t>
      </w:r>
    </w:p>
    <w:p w14:paraId="30DEA6B2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CSR výrazně </w:t>
      </w:r>
      <w:r w:rsidRPr="00C32100">
        <w:rPr>
          <w:rFonts w:ascii="Calibri" w:hAnsi="Calibri" w:cs="Calibri"/>
          <w:b/>
          <w:bCs/>
        </w:rPr>
        <w:t>posiluje důvěryhodnost a transparentnost</w:t>
      </w:r>
      <w:r w:rsidRPr="00C32100">
        <w:rPr>
          <w:rFonts w:ascii="Calibri" w:hAnsi="Calibri" w:cs="Calibri"/>
        </w:rPr>
        <w:t xml:space="preserve"> městské organizace vůči občanům i partnerům. Podporuje etické chování, odpovědné rozhodování a otevřenost, což v důsledku </w:t>
      </w:r>
      <w:r w:rsidRPr="00C32100">
        <w:rPr>
          <w:rFonts w:ascii="Calibri" w:hAnsi="Calibri" w:cs="Calibri"/>
          <w:b/>
          <w:bCs/>
        </w:rPr>
        <w:t>snižuje riziko korupce</w:t>
      </w:r>
      <w:r w:rsidRPr="00C32100">
        <w:rPr>
          <w:rFonts w:ascii="Calibri" w:hAnsi="Calibri" w:cs="Calibri"/>
        </w:rPr>
        <w:t xml:space="preserve"> a neetického jednání v rámci správy veřejných prostředků.</w:t>
      </w:r>
    </w:p>
    <w:p w14:paraId="68ADD7CC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2. Rozvoj komunity a kvalita života</w:t>
      </w:r>
    </w:p>
    <w:p w14:paraId="703CA4D8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>Město díky společenské odpovědnosti lépe a systematicky zohledňuje potřeby svých obyvatel, místních organizací a neziskového sektoru. Mezi konkrétní přínosy patří:</w:t>
      </w:r>
    </w:p>
    <w:p w14:paraId="618CD659" w14:textId="77777777" w:rsidR="00C32100" w:rsidRPr="00C32100" w:rsidRDefault="00C32100" w:rsidP="00C3210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  <w:b/>
          <w:bCs/>
        </w:rPr>
        <w:t>Podpora sociální soudržnosti</w:t>
      </w:r>
      <w:r w:rsidRPr="00C32100">
        <w:rPr>
          <w:rFonts w:ascii="Calibri" w:hAnsi="Calibri" w:cs="Calibri"/>
        </w:rPr>
        <w:t xml:space="preserve"> a inkluze.</w:t>
      </w:r>
    </w:p>
    <w:p w14:paraId="7307F31D" w14:textId="77777777" w:rsidR="00C32100" w:rsidRPr="00C32100" w:rsidRDefault="00C32100" w:rsidP="00C3210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>Zvyšování celkové kvality života ve městě.</w:t>
      </w:r>
    </w:p>
    <w:p w14:paraId="13069720" w14:textId="77777777" w:rsidR="00C32100" w:rsidRPr="00C32100" w:rsidRDefault="00C32100" w:rsidP="00C3210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Aktivní </w:t>
      </w:r>
      <w:r w:rsidRPr="00C32100">
        <w:rPr>
          <w:rFonts w:ascii="Calibri" w:hAnsi="Calibri" w:cs="Calibri"/>
          <w:b/>
          <w:bCs/>
        </w:rPr>
        <w:t>zapojování veřejnosti</w:t>
      </w:r>
      <w:r w:rsidRPr="00C32100">
        <w:rPr>
          <w:rFonts w:ascii="Calibri" w:hAnsi="Calibri" w:cs="Calibri"/>
        </w:rPr>
        <w:t xml:space="preserve"> do rozhodovacích procesů skrze dialog a participaci.</w:t>
      </w:r>
    </w:p>
    <w:p w14:paraId="7EE05633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3. Udržitelný rozvoj a ochrana zdrojů</w:t>
      </w:r>
    </w:p>
    <w:p w14:paraId="7F57EFD7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CSR je neoddělitelně spjata s principy udržitelnosti, což pro moderní město znamená především </w:t>
      </w:r>
      <w:r w:rsidRPr="00C32100">
        <w:rPr>
          <w:rFonts w:ascii="Calibri" w:hAnsi="Calibri" w:cs="Calibri"/>
          <w:b/>
          <w:bCs/>
        </w:rPr>
        <w:t>odpovědné nakládání s přírodními zdroji</w:t>
      </w:r>
      <w:r w:rsidRPr="00C32100">
        <w:rPr>
          <w:rFonts w:ascii="Calibri" w:hAnsi="Calibri" w:cs="Calibri"/>
        </w:rPr>
        <w:t>, jako jsou voda či energie, a efektivní odpadové hospodářství. Důraz je kladen na dlouhodobé plánování s ohledem na budoucí generace a investice do environmentálně šetrných projektů.</w:t>
      </w:r>
    </w:p>
    <w:p w14:paraId="6B98FB1F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4. Efektivní veřejná správa a lidský kapitál</w:t>
      </w:r>
    </w:p>
    <w:p w14:paraId="66E6C361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>Implementace CSR vede ke zlepšení vnitřního fungování institucí, například magistrátu, skrze:</w:t>
      </w:r>
    </w:p>
    <w:p w14:paraId="3DE24877" w14:textId="77777777" w:rsidR="00C32100" w:rsidRPr="00C32100" w:rsidRDefault="00C32100" w:rsidP="00C3210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Zlepšování pracovního prostředí a </w:t>
      </w:r>
      <w:r w:rsidRPr="00C32100">
        <w:rPr>
          <w:rFonts w:ascii="Calibri" w:hAnsi="Calibri" w:cs="Calibri"/>
          <w:b/>
          <w:bCs/>
        </w:rPr>
        <w:t>podporu rovnosti příležitostí</w:t>
      </w:r>
      <w:r w:rsidRPr="00C32100">
        <w:rPr>
          <w:rFonts w:ascii="Calibri" w:hAnsi="Calibri" w:cs="Calibri"/>
        </w:rPr>
        <w:t>.</w:t>
      </w:r>
    </w:p>
    <w:p w14:paraId="2D02CA1C" w14:textId="77777777" w:rsidR="00C32100" w:rsidRPr="00C32100" w:rsidRDefault="00C32100" w:rsidP="00C3210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>Zajištění rovnováhy mezi pracovním a osobním životem (</w:t>
      </w:r>
      <w:r w:rsidRPr="00C32100">
        <w:rPr>
          <w:rFonts w:ascii="Calibri" w:hAnsi="Calibri" w:cs="Calibri"/>
          <w:b/>
          <w:bCs/>
        </w:rPr>
        <w:t>work-life balance</w:t>
      </w:r>
      <w:r w:rsidRPr="00C32100">
        <w:rPr>
          <w:rFonts w:ascii="Calibri" w:hAnsi="Calibri" w:cs="Calibri"/>
        </w:rPr>
        <w:t>) a vzdělávání zaměstnanců.</w:t>
      </w:r>
    </w:p>
    <w:p w14:paraId="5F105595" w14:textId="77777777" w:rsidR="00C32100" w:rsidRPr="00C32100" w:rsidRDefault="00C32100" w:rsidP="00C3210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Zvyšování </w:t>
      </w:r>
      <w:r w:rsidRPr="00C32100">
        <w:rPr>
          <w:rFonts w:ascii="Calibri" w:hAnsi="Calibri" w:cs="Calibri"/>
          <w:b/>
          <w:bCs/>
        </w:rPr>
        <w:t>motivace zaměstnanců</w:t>
      </w:r>
      <w:r w:rsidRPr="00C32100">
        <w:rPr>
          <w:rFonts w:ascii="Calibri" w:hAnsi="Calibri" w:cs="Calibri"/>
        </w:rPr>
        <w:t xml:space="preserve"> a budování lepší organizační kultury.</w:t>
      </w:r>
    </w:p>
    <w:p w14:paraId="10B024ED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5. Strategické a ekonomické výhody</w:t>
      </w:r>
    </w:p>
    <w:p w14:paraId="50854BDF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Moderní město využívající principy CSR lépe reaguje na národní i evropské strategie, jako je </w:t>
      </w:r>
      <w:r w:rsidRPr="00C32100">
        <w:rPr>
          <w:rFonts w:ascii="Calibri" w:hAnsi="Calibri" w:cs="Calibri"/>
          <w:b/>
          <w:bCs/>
        </w:rPr>
        <w:t>ESG</w:t>
      </w:r>
      <w:r w:rsidRPr="00C32100">
        <w:rPr>
          <w:rFonts w:ascii="Calibri" w:hAnsi="Calibri" w:cs="Calibri"/>
        </w:rPr>
        <w:t xml:space="preserve"> (Environmentální, Sociální a Řízení) nebo Green Deal. Tento soulad se strategickými dokumenty zvyšuje šance města na </w:t>
      </w:r>
      <w:r w:rsidRPr="00C32100">
        <w:rPr>
          <w:rFonts w:ascii="Calibri" w:hAnsi="Calibri" w:cs="Calibri"/>
          <w:b/>
          <w:bCs/>
        </w:rPr>
        <w:t>získání dotačních prostředků</w:t>
      </w:r>
      <w:r w:rsidRPr="00C32100">
        <w:rPr>
          <w:rFonts w:ascii="Calibri" w:hAnsi="Calibri" w:cs="Calibri"/>
        </w:rPr>
        <w:t>, kde jsou kritéria udržitelnosti často klíčová pro hodnocení.</w:t>
      </w:r>
    </w:p>
    <w:p w14:paraId="24BC978F" w14:textId="77777777" w:rsidR="00C32100" w:rsidRPr="00C32100" w:rsidRDefault="00C32100" w:rsidP="00C32100">
      <w:pPr>
        <w:jc w:val="both"/>
        <w:rPr>
          <w:rFonts w:ascii="Calibri" w:hAnsi="Calibri" w:cs="Calibri"/>
          <w:b/>
          <w:bCs/>
        </w:rPr>
      </w:pPr>
      <w:r w:rsidRPr="00C32100">
        <w:rPr>
          <w:rFonts w:ascii="Calibri" w:hAnsi="Calibri" w:cs="Calibri"/>
          <w:b/>
          <w:bCs/>
        </w:rPr>
        <w:t>6. Reputace a prevence rizik</w:t>
      </w:r>
    </w:p>
    <w:p w14:paraId="720F11DA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Město díky CSR vystupuje jako </w:t>
      </w:r>
      <w:r w:rsidRPr="00C32100">
        <w:rPr>
          <w:rFonts w:ascii="Calibri" w:hAnsi="Calibri" w:cs="Calibri"/>
          <w:b/>
          <w:bCs/>
        </w:rPr>
        <w:t>moderní a atraktivní místo pro život</w:t>
      </w:r>
      <w:r w:rsidRPr="00C32100">
        <w:rPr>
          <w:rFonts w:ascii="Calibri" w:hAnsi="Calibri" w:cs="Calibri"/>
        </w:rPr>
        <w:t xml:space="preserve">, čímž se stává příkladem dobré praxe pro ostatní samosprávy a posiluje spolupráci s univerzitami či podnikatelským sektorem. Zároveň CSR pomáhá k </w:t>
      </w:r>
      <w:r w:rsidRPr="00C32100">
        <w:rPr>
          <w:rFonts w:ascii="Calibri" w:hAnsi="Calibri" w:cs="Calibri"/>
          <w:b/>
          <w:bCs/>
        </w:rPr>
        <w:t>lepší identifikaci sociálních a etických rizik</w:t>
      </w:r>
      <w:r w:rsidRPr="00C32100">
        <w:rPr>
          <w:rFonts w:ascii="Calibri" w:hAnsi="Calibri" w:cs="Calibri"/>
        </w:rPr>
        <w:t>, což zvyšuje odolnost města vůči ekonomickým či environmentálním výkyvům a zlepšuje schopnost krizového řízení.</w:t>
      </w:r>
    </w:p>
    <w:p w14:paraId="3E661FDF" w14:textId="77777777" w:rsidR="00C32100" w:rsidRDefault="00C32100" w:rsidP="00C32100">
      <w:pPr>
        <w:jc w:val="both"/>
        <w:rPr>
          <w:rFonts w:ascii="Calibri" w:hAnsi="Calibri" w:cs="Calibri"/>
        </w:rPr>
      </w:pPr>
    </w:p>
    <w:p w14:paraId="6BF5CB99" w14:textId="22CA1A78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lastRenderedPageBreak/>
        <w:t xml:space="preserve">Zavedení principů společenské odpovědnosti (CSR) pomáhá městu získat více finančních prostředků z dotací především díky </w:t>
      </w:r>
      <w:r w:rsidRPr="00C32100">
        <w:rPr>
          <w:rFonts w:ascii="Calibri" w:hAnsi="Calibri" w:cs="Calibri"/>
          <w:b/>
          <w:bCs/>
        </w:rPr>
        <w:t>souladu s národními a evropskými strategiemi</w:t>
      </w:r>
      <w:r w:rsidRPr="00C32100">
        <w:rPr>
          <w:rFonts w:ascii="Calibri" w:hAnsi="Calibri" w:cs="Calibri"/>
        </w:rPr>
        <w:t>, které tyto principy vyžadují.</w:t>
      </w:r>
    </w:p>
    <w:p w14:paraId="4ECA34BE" w14:textId="77777777" w:rsidR="00C32100" w:rsidRDefault="00C32100" w:rsidP="00C32100">
      <w:pPr>
        <w:jc w:val="both"/>
        <w:rPr>
          <w:rFonts w:ascii="Calibri" w:hAnsi="Calibri" w:cs="Calibri"/>
          <w:b/>
          <w:bCs/>
        </w:rPr>
      </w:pPr>
    </w:p>
    <w:p w14:paraId="4F90AF7B" w14:textId="28292DAE" w:rsidR="00C32100" w:rsidRPr="00C32100" w:rsidRDefault="00C32100" w:rsidP="00C32100">
      <w:pPr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32100">
        <w:rPr>
          <w:rFonts w:ascii="Calibri" w:hAnsi="Calibri" w:cs="Calibri"/>
          <w:b/>
          <w:bCs/>
          <w:color w:val="C00000"/>
          <w:sz w:val="28"/>
          <w:szCs w:val="28"/>
        </w:rPr>
        <w:t>Konkrétní mechanismy, jak CSR zvyšuje šance na zisk dotačních prostředků, jsou následující:</w:t>
      </w:r>
    </w:p>
    <w:p w14:paraId="7CA8E81B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• </w:t>
      </w:r>
      <w:r w:rsidRPr="00C32100">
        <w:rPr>
          <w:rFonts w:ascii="Calibri" w:hAnsi="Calibri" w:cs="Calibri"/>
          <w:b/>
          <w:bCs/>
        </w:rPr>
        <w:t>Hodnotící kritéria dotací:</w:t>
      </w:r>
      <w:r w:rsidRPr="00C32100">
        <w:rPr>
          <w:rFonts w:ascii="Calibri" w:hAnsi="Calibri" w:cs="Calibri"/>
        </w:rPr>
        <w:t xml:space="preserve"> Principy CSR a udržitelnosti jsou v dotačních programech často přímo zakotveny jako </w:t>
      </w:r>
      <w:r w:rsidRPr="00C32100">
        <w:rPr>
          <w:rFonts w:ascii="Calibri" w:hAnsi="Calibri" w:cs="Calibri"/>
          <w:b/>
          <w:bCs/>
        </w:rPr>
        <w:t>klíčová hodnotící kritéria</w:t>
      </w:r>
      <w:r w:rsidRPr="00C32100">
        <w:rPr>
          <w:rFonts w:ascii="Calibri" w:hAnsi="Calibri" w:cs="Calibri"/>
        </w:rPr>
        <w:t>. Pokud město tyto principy systematicky uplatňuje, získává v bodovém hodnocení projektových žádostí výhodu oproti žadatelům, kteří CSR koncepčně neřeší.</w:t>
      </w:r>
    </w:p>
    <w:p w14:paraId="76DD5F9F" w14:textId="75719E12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• </w:t>
      </w:r>
      <w:r w:rsidRPr="00C32100">
        <w:rPr>
          <w:rFonts w:ascii="Calibri" w:hAnsi="Calibri" w:cs="Calibri"/>
          <w:b/>
          <w:bCs/>
        </w:rPr>
        <w:t>Reakce na strategie EU:</w:t>
      </w:r>
      <w:r w:rsidRPr="00C32100">
        <w:rPr>
          <w:rFonts w:ascii="Calibri" w:hAnsi="Calibri" w:cs="Calibri"/>
        </w:rPr>
        <w:t xml:space="preserve"> Implementace CSR městu umožňuje lépe reagovat na strategické dokumenty Evropské unie, jako je </w:t>
      </w:r>
      <w:r w:rsidRPr="00C32100">
        <w:rPr>
          <w:rFonts w:ascii="Calibri" w:hAnsi="Calibri" w:cs="Calibri"/>
          <w:b/>
          <w:bCs/>
        </w:rPr>
        <w:t>Green Deal</w:t>
      </w:r>
      <w:r w:rsidRPr="00C32100">
        <w:rPr>
          <w:rFonts w:ascii="Calibri" w:hAnsi="Calibri" w:cs="Calibri"/>
        </w:rPr>
        <w:t xml:space="preserve"> nebo kritéria </w:t>
      </w:r>
      <w:r w:rsidRPr="00C32100">
        <w:rPr>
          <w:rFonts w:ascii="Calibri" w:hAnsi="Calibri" w:cs="Calibri"/>
          <w:b/>
          <w:bCs/>
        </w:rPr>
        <w:t>ESG</w:t>
      </w:r>
      <w:r w:rsidRPr="00C32100">
        <w:rPr>
          <w:rFonts w:ascii="Calibri" w:hAnsi="Calibri" w:cs="Calibri"/>
        </w:rPr>
        <w:t xml:space="preserve"> (Environmentální, Sociální a Řízení). Tyto rámce jsou základem pro rozdělování moderních evropských fondů.</w:t>
      </w:r>
    </w:p>
    <w:p w14:paraId="25AA54DE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• </w:t>
      </w:r>
      <w:r w:rsidRPr="00C32100">
        <w:rPr>
          <w:rFonts w:ascii="Calibri" w:hAnsi="Calibri" w:cs="Calibri"/>
          <w:b/>
          <w:bCs/>
        </w:rPr>
        <w:t>Dlouhodobá udržitelnost a plánování:</w:t>
      </w:r>
      <w:r w:rsidRPr="00C32100">
        <w:rPr>
          <w:rFonts w:ascii="Calibri" w:hAnsi="Calibri" w:cs="Calibri"/>
        </w:rPr>
        <w:t xml:space="preserve"> Dotace jsou často směřovány do projektů, které prokazují dlouhodobou udržitelnost a odpovědné nakládání s přírodními zdroji (energie, voda, odpady), což jsou ústřední témata CSR.</w:t>
      </w:r>
    </w:p>
    <w:p w14:paraId="1286971A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• </w:t>
      </w:r>
      <w:r w:rsidRPr="00C32100">
        <w:rPr>
          <w:rFonts w:ascii="Calibri" w:hAnsi="Calibri" w:cs="Calibri"/>
          <w:b/>
          <w:bCs/>
        </w:rPr>
        <w:t>Reputace a důvěryhodnost:</w:t>
      </w:r>
      <w:r w:rsidRPr="00C32100">
        <w:rPr>
          <w:rFonts w:ascii="Calibri" w:hAnsi="Calibri" w:cs="Calibri"/>
        </w:rPr>
        <w:t xml:space="preserve"> Organizace, která zavedením CSR posiluje svou </w:t>
      </w:r>
      <w:r w:rsidRPr="00C32100">
        <w:rPr>
          <w:rFonts w:ascii="Calibri" w:hAnsi="Calibri" w:cs="Calibri"/>
          <w:b/>
          <w:bCs/>
        </w:rPr>
        <w:t>transparentnost a odpovědné rozhodování</w:t>
      </w:r>
      <w:r w:rsidRPr="00C32100">
        <w:rPr>
          <w:rFonts w:ascii="Calibri" w:hAnsi="Calibri" w:cs="Calibri"/>
        </w:rPr>
        <w:t>, působí na poskytovatele dotací jako důvěryhodnější partner při správě veřejných prostředků.</w:t>
      </w:r>
    </w:p>
    <w:p w14:paraId="505F7ABD" w14:textId="77777777" w:rsidR="00C32100" w:rsidRPr="00C32100" w:rsidRDefault="00C32100" w:rsidP="00C32100">
      <w:pPr>
        <w:jc w:val="both"/>
        <w:rPr>
          <w:rFonts w:ascii="Calibri" w:hAnsi="Calibri" w:cs="Calibri"/>
        </w:rPr>
      </w:pPr>
      <w:r w:rsidRPr="00C32100">
        <w:rPr>
          <w:rFonts w:ascii="Calibri" w:hAnsi="Calibri" w:cs="Calibri"/>
        </w:rPr>
        <w:t xml:space="preserve">Celkově lze říci, že CSR město připravuje na </w:t>
      </w:r>
      <w:r w:rsidRPr="00C32100">
        <w:rPr>
          <w:rFonts w:ascii="Calibri" w:hAnsi="Calibri" w:cs="Calibri"/>
          <w:b/>
          <w:bCs/>
        </w:rPr>
        <w:t>budoucí standardy financování</w:t>
      </w:r>
      <w:r w:rsidRPr="00C32100">
        <w:rPr>
          <w:rFonts w:ascii="Calibri" w:hAnsi="Calibri" w:cs="Calibri"/>
        </w:rPr>
        <w:t>, kde již nebude společenská odpovědnost volbou, ale nutnou podmínkou pro čerpání podpory</w:t>
      </w:r>
    </w:p>
    <w:p w14:paraId="35A180DE" w14:textId="77777777" w:rsidR="003E1C6D" w:rsidRDefault="003E1C6D" w:rsidP="00C32100">
      <w:pPr>
        <w:jc w:val="both"/>
      </w:pPr>
    </w:p>
    <w:sectPr w:rsidR="003E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116"/>
    <w:multiLevelType w:val="multilevel"/>
    <w:tmpl w:val="19D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44AB2"/>
    <w:multiLevelType w:val="multilevel"/>
    <w:tmpl w:val="A7D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788220">
    <w:abstractNumId w:val="0"/>
  </w:num>
  <w:num w:numId="2" w16cid:durableId="204528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00"/>
    <w:rsid w:val="00094858"/>
    <w:rsid w:val="003E1C6D"/>
    <w:rsid w:val="005F6369"/>
    <w:rsid w:val="0080106B"/>
    <w:rsid w:val="00917FEF"/>
    <w:rsid w:val="00C32100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655F"/>
  <w15:chartTrackingRefBased/>
  <w15:docId w15:val="{A17F5F57-F15A-4DB1-8538-EBAA16E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1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1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1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1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3373</Characters>
  <Application>Microsoft Office Word</Application>
  <DocSecurity>0</DocSecurity>
  <Lines>74</Lines>
  <Paragraphs>52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1</cp:revision>
  <dcterms:created xsi:type="dcterms:W3CDTF">2026-02-12T19:30:00Z</dcterms:created>
  <dcterms:modified xsi:type="dcterms:W3CDTF">2026-02-12T19:34:00Z</dcterms:modified>
</cp:coreProperties>
</file>